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501092</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245C1F28">
            <w:pPr>
              <w:numPr>
                <w:ilvl w:val="0"/>
                <w:numId w:val="0"/>
              </w:numPr>
              <w:spacing w:after="0"/>
              <w:ind w:left="-60" w:leftChars="0"/>
              <w:rPr>
                <w:rFonts w:hint="default" w:ascii="Times New Roman" w:hAnsi="Times New Roman" w:cs="Times New Roman"/>
                <w:bCs/>
                <w:sz w:val="20"/>
                <w:szCs w:val="20"/>
              </w:rPr>
            </w:pPr>
          </w:p>
          <w:p w14:paraId="745D0ACD">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2BD3A40B">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5938EA54">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6B961F43">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7B4DDA58">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36D4782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0585AF5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47D2E4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0B27DD74">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C44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F9E94EF">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 xml:space="preserve">Issue </w:t>
            </w:r>
            <w:r>
              <w:rPr>
                <w:rFonts w:hint="default" w:ascii="Times New Roman" w:hAnsi="Times New Roman" w:eastAsia="Yu Mincho" w:cs="Times New Roman"/>
                <w:b/>
                <w:color w:val="0070C0"/>
                <w:sz w:val="20"/>
                <w:szCs w:val="20"/>
                <w:u w:val="single"/>
                <w:lang w:eastAsia="ja-JP"/>
              </w:rPr>
              <w:t>3</w:t>
            </w:r>
            <w:r>
              <w:rPr>
                <w:rFonts w:hint="default" w:ascii="Times New Roman" w:hAnsi="Times New Roman" w:cs="Times New Roman"/>
                <w:b/>
                <w:color w:val="0070C0"/>
                <w:sz w:val="20"/>
                <w:szCs w:val="20"/>
                <w:u w:val="single"/>
                <w:lang w:eastAsia="ko-KR"/>
              </w:rPr>
              <w:t>-</w:t>
            </w:r>
            <w:r>
              <w:rPr>
                <w:rFonts w:hint="default" w:ascii="Times New Roman" w:hAnsi="Times New Roman" w:eastAsia="Yu Mincho" w:cs="Times New Roman"/>
                <w:b/>
                <w:color w:val="0070C0"/>
                <w:sz w:val="20"/>
                <w:szCs w:val="20"/>
                <w:u w:val="single"/>
                <w:lang w:eastAsia="ja-JP"/>
              </w:rPr>
              <w:t>1</w:t>
            </w:r>
            <w:r>
              <w:rPr>
                <w:rFonts w:hint="default" w:ascii="Times New Roman" w:hAnsi="Times New Roman" w:cs="Times New Roman"/>
                <w:b/>
                <w:color w:val="0070C0"/>
                <w:sz w:val="20"/>
                <w:szCs w:val="20"/>
                <w:u w:val="single"/>
                <w:lang w:eastAsia="ko-KR"/>
              </w:rPr>
              <w:t xml:space="preserve">: </w:t>
            </w:r>
            <w:r>
              <w:rPr>
                <w:rFonts w:hint="default" w:ascii="Times New Roman" w:hAnsi="Times New Roman" w:eastAsia="Yu Mincho" w:cs="Times New Roman"/>
                <w:b/>
                <w:color w:val="0070C0"/>
                <w:sz w:val="20"/>
                <w:szCs w:val="20"/>
                <w:u w:val="single"/>
                <w:lang w:eastAsia="ja-JP"/>
              </w:rPr>
              <w:t>Relative RSRP Accuracy</w:t>
            </w:r>
          </w:p>
          <w:p w14:paraId="2ED6F105">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w:t>
            </w:r>
          </w:p>
          <w:p w14:paraId="76180D8B">
            <w:pPr>
              <w:pStyle w:val="10"/>
              <w:numPr>
                <w:ilvl w:val="1"/>
                <w:numId w:val="6"/>
              </w:numPr>
              <w:spacing w:after="120"/>
              <w:ind w:left="1418"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1: The definition of relative RSRP accuracy shall be:</w:t>
            </w:r>
          </w:p>
          <w:p w14:paraId="03A34880">
            <w:pPr>
              <w:pStyle w:val="10"/>
              <w:spacing w:after="120"/>
              <w:ind w:left="2487" w:firstLine="0" w:firstLineChars="0"/>
              <w:rPr>
                <w:rFonts w:hint="default" w:ascii="Times New Roman" w:hAnsi="Times New Roman" w:eastAsia="宋体" w:cs="Times New Roman"/>
                <w:color w:val="0070C0"/>
                <w:sz w:val="20"/>
                <w:szCs w:val="20"/>
                <w:lang w:eastAsia="zh-CN"/>
              </w:rPr>
            </w:pPr>
            <w:r>
              <w:rPr>
                <w:rFonts w:hint="default" w:ascii="Times New Roman" w:hAnsi="Times New Roman" w:eastAsia="等线" w:cs="Times New Roman"/>
                <w:b/>
                <w:sz w:val="20"/>
                <w:szCs w:val="20"/>
                <w:lang w:val="en-US" w:eastAsia="zh-CN"/>
              </w:rPr>
              <w:t xml:space="preserve">The relative RSRP accuracy for AI/ML-based beam prediction </w:t>
            </w:r>
            <w:r>
              <w:rPr>
                <w:rFonts w:hint="default" w:ascii="Times New Roman" w:hAnsi="Times New Roman" w:eastAsia="等线" w:cs="Times New Roman"/>
                <w:b/>
                <w:sz w:val="20"/>
                <w:szCs w:val="20"/>
                <w:lang w:eastAsia="zh-CN"/>
              </w:rPr>
              <w:t xml:space="preserve">= </w:t>
            </w:r>
            <w:r>
              <w:rPr>
                <w:rFonts w:hint="default" w:ascii="Times New Roman" w:hAnsi="Times New Roman" w:eastAsia="等线" w:cs="Times New Roman"/>
                <w:b/>
                <w:sz w:val="20"/>
                <w:szCs w:val="20"/>
                <w:lang w:val="en-US" w:eastAsia="zh-CN"/>
              </w:rPr>
              <w:t xml:space="preserve">the ground truth of L1-RSRP of the predicted beam index </w:t>
            </w:r>
            <w:r>
              <w:rPr>
                <w:rFonts w:hint="default" w:ascii="Times New Roman" w:hAnsi="Times New Roman" w:eastAsia="等线" w:cs="Times New Roman"/>
                <w:b/>
                <w:i/>
                <w:iCs/>
                <w:sz w:val="20"/>
                <w:szCs w:val="20"/>
                <w:lang w:eastAsia="zh-CN"/>
              </w:rPr>
              <w:t>i</w:t>
            </w:r>
            <w:r>
              <w:rPr>
                <w:rFonts w:hint="default" w:ascii="Times New Roman" w:hAnsi="Times New Roman" w:eastAsia="等线" w:cs="Times New Roman"/>
                <w:b/>
                <w:sz w:val="20"/>
                <w:szCs w:val="20"/>
                <w:lang w:eastAsia="zh-CN"/>
              </w:rPr>
              <w:t xml:space="preserve"> -  </w:t>
            </w:r>
            <w:r>
              <w:rPr>
                <w:rFonts w:hint="default" w:ascii="Times New Roman" w:hAnsi="Times New Roman" w:eastAsia="等线" w:cs="Times New Roman"/>
                <w:b/>
                <w:sz w:val="20"/>
                <w:szCs w:val="20"/>
                <w:lang w:val="en-US" w:eastAsia="zh-CN"/>
              </w:rPr>
              <w:t xml:space="preserve">the ground truth of the L1-RSRP of the Top-1 ideal beam index </w:t>
            </w:r>
            <w:r>
              <w:rPr>
                <w:rFonts w:hint="default" w:ascii="Times New Roman" w:hAnsi="Times New Roman" w:eastAsia="等线" w:cs="Times New Roman"/>
                <w:b/>
                <w:i/>
                <w:iCs/>
                <w:sz w:val="20"/>
                <w:szCs w:val="20"/>
                <w:lang w:val="en-US" w:eastAsia="zh-CN"/>
              </w:rPr>
              <w:t>j</w:t>
            </w:r>
          </w:p>
          <w:p w14:paraId="616227CE">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2: The definition of relative RSRP accuracy shall be:</w:t>
            </w:r>
          </w:p>
          <w:p w14:paraId="7DA75CC4">
            <w:pPr>
              <w:pStyle w:val="10"/>
              <w:overflowPunct/>
              <w:autoSpaceDE/>
              <w:autoSpaceDN/>
              <w:adjustRightInd/>
              <w:spacing w:after="120"/>
              <w:ind w:left="2376" w:firstLine="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cs="Times New Roman"/>
                <w:b/>
                <w:sz w:val="20"/>
                <w:szCs w:val="20"/>
                <w:lang w:eastAsia="zh-CN"/>
              </w:rPr>
              <w:t>predicted L1-RSRP of beam index i – predicted L1-RSRP of beam index n, where the beam index n owns the largest RSRP among the predicted beams.</w:t>
            </w:r>
          </w:p>
          <w:p w14:paraId="0B34E942">
            <w:pPr>
              <w:pStyle w:val="10"/>
              <w:numPr>
                <w:ilvl w:val="1"/>
                <w:numId w:val="6"/>
              </w:numPr>
              <w:spacing w:after="120"/>
              <w:ind w:left="1645" w:leftChars="567" w:hanging="284" w:hangingChars="142"/>
              <w:rPr>
                <w:rFonts w:hint="default" w:ascii="Times New Roman" w:hAnsi="Times New Roman" w:eastAsia="Yu Mincho" w:cs="Times New Roman"/>
                <w:color w:val="0070C0"/>
                <w:sz w:val="20"/>
                <w:szCs w:val="20"/>
                <w:lang w:eastAsia="ja-JP"/>
              </w:rPr>
            </w:pPr>
            <w:r>
              <w:rPr>
                <w:rFonts w:hint="default" w:ascii="Times New Roman" w:hAnsi="Times New Roman" w:eastAsia="Yu Mincho" w:cs="Times New Roman"/>
                <w:color w:val="0070C0"/>
                <w:sz w:val="20"/>
                <w:szCs w:val="20"/>
                <w:lang w:eastAsia="ja-JP"/>
              </w:rPr>
              <w:t xml:space="preserve">Option 3: </w:t>
            </w:r>
            <w:r>
              <w:rPr>
                <w:rFonts w:hint="default" w:ascii="Times New Roman" w:hAnsi="Times New Roman" w:eastAsia="宋体" w:cs="Times New Roman"/>
                <w:color w:val="0070C0"/>
                <w:sz w:val="20"/>
                <w:szCs w:val="20"/>
                <w:lang w:eastAsia="zh-CN"/>
              </w:rPr>
              <w:t>The definition of relative RSRP accuracy shall be:</w:t>
            </w:r>
          </w:p>
          <w:p w14:paraId="640B2C98">
            <w:pPr>
              <w:pStyle w:val="10"/>
              <w:spacing w:after="120"/>
              <w:ind w:left="2376" w:firstLine="0" w:firstLineChars="0"/>
              <w:rPr>
                <w:rFonts w:hint="default" w:ascii="Times New Roman" w:hAnsi="Times New Roman" w:eastAsia="Yu Mincho" w:cs="Times New Roman"/>
                <w:color w:val="0070C0"/>
                <w:sz w:val="20"/>
                <w:szCs w:val="20"/>
                <w:lang w:eastAsia="ja-JP"/>
              </w:rPr>
            </w:pPr>
            <w:r>
              <w:rPr>
                <w:rFonts w:hint="default" w:ascii="Times New Roman" w:hAnsi="Times New Roman" w:cs="Times New Roman" w:eastAsiaTheme="minorEastAsia"/>
                <w:b/>
                <w:bCs/>
                <w:sz w:val="20"/>
                <w:szCs w:val="20"/>
                <w:lang w:eastAsia="zh-CN"/>
              </w:rPr>
              <w:t>the RSRP difference between the predicted L1-RSRP of different beams.</w:t>
            </w:r>
          </w:p>
          <w:p w14:paraId="3B217EFB">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color w:val="0070C0"/>
                <w:sz w:val="20"/>
                <w:szCs w:val="20"/>
                <w:lang w:eastAsia="ja-JP"/>
              </w:rPr>
              <w:t>Option 4: others</w:t>
            </w:r>
          </w:p>
        </w:tc>
      </w:tr>
    </w:tbl>
    <w:p w14:paraId="4E7FCC21">
      <w:pPr>
        <w:spacing w:after="180" w:line="240" w:lineRule="exact"/>
        <w:rPr>
          <w:rFonts w:hint="eastAsia" w:ascii="Times New Roman" w:hAnsi="Times New Roman" w:eastAsia="等线"/>
          <w:bCs/>
          <w:iCs/>
          <w:sz w:val="20"/>
          <w:szCs w:val="20"/>
          <w:lang w:val="en-US" w:eastAsia="zh-CN"/>
        </w:rPr>
      </w:pPr>
    </w:p>
    <w:p w14:paraId="7FA81B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general, it is preferred to follow the definition of legacy L1-RSRP measurement accuracy. According to legacy L1-RSRP measurement, both absolute accuracy and relative accuracy are specified. The absolute accuracy is the difference between the measured L1-RSRP and the ideal L1-RSRP. Relative accuracy is defined as the L1-RSRP measured from one SSB compared to the largest measured value of L1-RSRP among all SSBs of the cell on which UE performs L1-RSRP measurements. </w:t>
      </w:r>
    </w:p>
    <w:p w14:paraId="7A5B8CE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RAN4#112bis meeting, it was agreed that the absolute RSRP accuracy for AI/ML based beam prediction is the difference between predicted L1-RSRP of beam index i and groundtruth of L1-RSRP of beam index i, which is similar as the definition of legacy L1-RSRP measurement accuracy. As for the relative accuracy, some companies propose not necessary to have relative accuracy requirements in addition to absolute accuracy requirements for AI/ML, while some companies mentioned that relative accuracy is related to monitoring and RAN1 has similar discussion. We do not have strong view. Our main consideration is that if it is agreed to define relative RSRP accuracy for AI/ML, it is proposed to follow the legacy way. In detail, the relative RSRP accuracy is the difference between the predicted L1-RSRP of beam index i and the predicted L1-RSRP of beam index n, where the beam index n owns the largest predicted value.</w:t>
      </w:r>
    </w:p>
    <w:p w14:paraId="50A73AD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the relative RSRP accuracy is proposed as:</w:t>
      </w:r>
    </w:p>
    <w:p w14:paraId="6D0C8B5A">
      <w:pPr>
        <w:numPr>
          <w:ilvl w:val="0"/>
          <w:numId w:val="7"/>
        </w:numPr>
        <w:spacing w:after="180" w:line="240" w:lineRule="exact"/>
        <w:ind w:left="840" w:leftChars="0" w:hanging="420" w:firstLineChars="0"/>
        <w:rPr>
          <w:rFonts w:hint="default" w:ascii="Times New Roman" w:hAnsi="Times New Roman" w:eastAsia="Yu Mincho" w:cs="Times New Roman"/>
          <w:b/>
          <w:bCs w:val="0"/>
          <w:i/>
          <w:iCs w:val="0"/>
          <w:color w:val="auto"/>
          <w:sz w:val="20"/>
          <w:szCs w:val="20"/>
          <w:lang w:eastAsia="zh-CN"/>
        </w:rPr>
      </w:pPr>
      <w:r>
        <w:rPr>
          <w:rFonts w:hint="default" w:ascii="Times New Roman" w:hAnsi="Times New Roman" w:eastAsia="Yu Mincho" w:cs="Times New Roman"/>
          <w:b/>
          <w:bCs w:val="0"/>
          <w:i/>
          <w:iCs w:val="0"/>
          <w:color w:val="auto"/>
          <w:sz w:val="20"/>
          <w:szCs w:val="20"/>
          <w:lang w:eastAsia="ja-JP"/>
        </w:rPr>
        <w:t>Relative RSRP accuracy</w:t>
      </w:r>
      <w:r>
        <w:rPr>
          <w:rFonts w:hint="eastAsia" w:ascii="Times New Roman" w:hAnsi="Times New Roman"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predicted L1-RSRP of beam index i – predicted L1-RSRP of beam index n, where the beam index n owns the largest predicted value.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AF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C464C1">
            <w:pPr>
              <w:spacing w:after="120"/>
              <w:rPr>
                <w:rFonts w:hint="default" w:ascii="Times New Roman" w:hAnsi="Times New Roman" w:eastAsia="宋体" w:cs="Times New Roman"/>
                <w:sz w:val="20"/>
                <w:szCs w:val="20"/>
                <w:lang w:val="en-US" w:eastAsia="zh-CN"/>
              </w:rPr>
            </w:pPr>
            <w:r>
              <w:rPr>
                <w:rFonts w:hint="default" w:ascii="Times New Roman" w:hAnsi="Times New Roman" w:eastAsia="游明朝" w:cs="Times New Roman"/>
                <w:sz w:val="20"/>
                <w:szCs w:val="20"/>
                <w:lang w:eastAsia="ja-JP"/>
              </w:rPr>
              <w:t>Agreement</w:t>
            </w:r>
            <w:r>
              <w:rPr>
                <w:rFonts w:hint="eastAsia" w:ascii="Times New Roman" w:hAnsi="Times New Roman" w:cs="Times New Roman"/>
                <w:sz w:val="20"/>
                <w:szCs w:val="20"/>
                <w:lang w:val="en-US" w:eastAsia="zh-CN"/>
              </w:rPr>
              <w:t>s in RAN4#112bis</w:t>
            </w:r>
          </w:p>
          <w:p w14:paraId="04F3371F">
            <w:pPr>
              <w:spacing w:after="120"/>
              <w:rPr>
                <w:rFonts w:hint="default" w:ascii="Times New Roman" w:hAnsi="Times New Roman" w:eastAsia="游明朝" w:cs="Times New Roman"/>
                <w:b/>
                <w:bCs/>
                <w:sz w:val="20"/>
                <w:szCs w:val="20"/>
                <w:lang w:eastAsia="ja-JP"/>
              </w:rPr>
            </w:pPr>
            <w:r>
              <w:rPr>
                <w:rFonts w:hint="eastAsia" w:ascii="Times New Roman" w:hAnsi="Times New Roman" w:cs="Times New Roman"/>
                <w:b/>
                <w:bCs/>
                <w:sz w:val="20"/>
                <w:szCs w:val="20"/>
                <w:lang w:val="en-US" w:eastAsia="zh-CN"/>
              </w:rPr>
              <w:t>RSRP Absolute accuracy</w:t>
            </w:r>
            <w:r>
              <w:rPr>
                <w:rFonts w:hint="default" w:ascii="Times New Roman" w:hAnsi="Times New Roman" w:eastAsia="游明朝" w:cs="Times New Roman"/>
                <w:b/>
                <w:bCs/>
                <w:sz w:val="20"/>
                <w:szCs w:val="20"/>
                <w:lang w:eastAsia="ja-JP"/>
              </w:rPr>
              <w:t>:</w:t>
            </w:r>
          </w:p>
          <w:p w14:paraId="5132F49E">
            <w:pPr>
              <w:pStyle w:val="10"/>
              <w:numPr>
                <w:ilvl w:val="0"/>
                <w:numId w:val="8"/>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tc>
      </w:tr>
    </w:tbl>
    <w:p w14:paraId="1BC10CA2">
      <w:pPr>
        <w:spacing w:after="180" w:line="240" w:lineRule="exact"/>
        <w:rPr>
          <w:rFonts w:hint="eastAsia" w:ascii="Times New Roman" w:hAnsi="Times New Roman" w:eastAsia="等线"/>
          <w:bCs/>
          <w:iCs/>
          <w:sz w:val="20"/>
          <w:szCs w:val="20"/>
          <w:lang w:val="en-US" w:eastAsia="zh-CN"/>
        </w:rPr>
      </w:pPr>
    </w:p>
    <w:p w14:paraId="05B6E6A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part with square brackets in the agreement, we do not think it is necessary. In our view, the accuracy requirements should apply to all predicted beams, no need to limit to a subset of predicted beams, which are selected predefined side conditions. There are two reasons to suggest to apply the accuracy requirements to all predicted beams. On one hand, all the predicted/reported beams are benificial for network, for example, can be used for load balancing. On the other hand, the final reported beam index and/or related L1-RSRP are based on ranking of all the predicted beams. If the accuracy of some predicted beams are not guaranteed, it will have impact on the final decision of the reported beams.</w:t>
      </w:r>
    </w:p>
    <w:p w14:paraId="5BE364C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that the RSRP absolute accuracy requirements apply to all predicted beams, not limit to the beam index in top-K beams.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DD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9C3C50">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w:t>
            </w:r>
            <w:r>
              <w:rPr>
                <w:rFonts w:hint="default" w:ascii="Times New Roman" w:hAnsi="Times New Roman" w:eastAsia="Yu Mincho" w:cs="Times New Roman"/>
                <w:b/>
                <w:sz w:val="20"/>
                <w:szCs w:val="20"/>
                <w:u w:val="single"/>
                <w:lang w:eastAsia="ja-JP"/>
              </w:rPr>
              <w:t>2</w:t>
            </w:r>
            <w:r>
              <w:rPr>
                <w:rFonts w:hint="default" w:ascii="Times New Roman" w:hAnsi="Times New Roman" w:cs="Times New Roman"/>
                <w:b/>
                <w:sz w:val="20"/>
                <w:szCs w:val="20"/>
                <w:u w:val="single"/>
                <w:lang w:eastAsia="ko-KR"/>
              </w:rPr>
              <w:t xml:space="preserve">: </w:t>
            </w:r>
            <w:r>
              <w:rPr>
                <w:rFonts w:hint="default" w:ascii="Times New Roman" w:hAnsi="Times New Roman" w:eastAsia="Yu Mincho" w:cs="Times New Roman"/>
                <w:b/>
                <w:sz w:val="20"/>
                <w:szCs w:val="20"/>
                <w:u w:val="single"/>
                <w:lang w:eastAsia="ja-JP"/>
              </w:rPr>
              <w:t>UE Rx beam knowledge</w:t>
            </w:r>
          </w:p>
          <w:p w14:paraId="62B4A260">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56C07F92">
            <w:pPr>
              <w:pStyle w:val="10"/>
              <w:numPr>
                <w:ilvl w:val="0"/>
                <w:numId w:val="9"/>
              </w:numPr>
              <w:spacing w:after="120"/>
              <w:ind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Whether the TCI state associated with a predicted Tx beam is known or unknown is FFS</w:t>
            </w:r>
          </w:p>
          <w:p w14:paraId="46056CC1">
            <w:pPr>
              <w:pStyle w:val="10"/>
              <w:numPr>
                <w:ilvl w:val="0"/>
                <w:numId w:val="9"/>
              </w:numPr>
              <w:ind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RAN4 to further discuss whether to mandate that the UE has to predict the Rx beam paired with the predicted Tx beam or not.</w:t>
            </w:r>
          </w:p>
          <w:p w14:paraId="4354B4A9">
            <w:pPr>
              <w:pStyle w:val="10"/>
              <w:numPr>
                <w:ilvl w:val="1"/>
                <w:numId w:val="9"/>
              </w:numPr>
              <w:ind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way to know UE Rx beams is not precluded</w:t>
            </w:r>
          </w:p>
          <w:p w14:paraId="474233C8">
            <w:pPr>
              <w:pStyle w:val="10"/>
              <w:numPr>
                <w:ilvl w:val="2"/>
                <w:numId w:val="9"/>
              </w:numPr>
              <w:ind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sz w:val="20"/>
                <w:szCs w:val="20"/>
                <w:lang w:eastAsia="ja-JP"/>
              </w:rPr>
              <w:t>UE capability is one of the solutions</w:t>
            </w:r>
          </w:p>
        </w:tc>
      </w:tr>
    </w:tbl>
    <w:p w14:paraId="686356BB">
      <w:pPr>
        <w:spacing w:after="180" w:line="240" w:lineRule="exact"/>
        <w:rPr>
          <w:rFonts w:hint="default" w:ascii="Times New Roman" w:hAnsi="Times New Roman" w:eastAsia="等线"/>
          <w:bCs/>
          <w:iCs/>
          <w:sz w:val="20"/>
          <w:szCs w:val="20"/>
          <w:lang w:val="en-US" w:eastAsia="zh-CN"/>
        </w:rPr>
      </w:pPr>
    </w:p>
    <w:p w14:paraId="6D8BB2E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key issue is whether the UE knows with which Rx beam to receive the predicted Tx beam or not. Our initial understading is that UE RX beam is known. For the the beam in set B, it is known since UE has measured it. For the beam not in setB, it can also be known since the </w:t>
      </w:r>
      <w:r>
        <w:rPr>
          <w:rFonts w:hint="default" w:ascii="Times New Roman" w:hAnsi="Times New Roman" w:eastAsia="Yu Mincho" w:cs="Times New Roman"/>
          <w:color w:val="auto"/>
          <w:sz w:val="20"/>
          <w:szCs w:val="20"/>
          <w:lang w:eastAsia="ja-JP"/>
        </w:rPr>
        <w:t>UE Rx beam gain has to be taken into account when making the prediction</w:t>
      </w:r>
      <w:r>
        <w:rPr>
          <w:rFonts w:hint="eastAsia" w:ascii="Times New Roman" w:hAnsi="Times New Roman" w:cs="Times New Roman"/>
          <w:color w:val="auto"/>
          <w:sz w:val="20"/>
          <w:szCs w:val="20"/>
          <w:lang w:val="en-US" w:eastAsia="zh-CN"/>
        </w:rPr>
        <w:t xml:space="preserve"> of gNB TX beam.</w:t>
      </w:r>
      <w:r>
        <w:rPr>
          <w:rFonts w:hint="eastAsia" w:ascii="Times New Roman" w:hAnsi="Times New Roman" w:eastAsia="等线"/>
          <w:bCs/>
          <w:iCs/>
          <w:sz w:val="20"/>
          <w:szCs w:val="20"/>
          <w:lang w:val="en-US" w:eastAsia="zh-CN"/>
        </w:rPr>
        <w:t xml:space="preserve"> However, according to the discussion, it is related with UE implementation. Some companies mentioned that UE will take the Rx spherical coverage into account but the UE Rx beam index is not input into the prediction model. In this case, UE RX beam is unknown. One proposal is to assume the Rx beam is unknown since RAN4 define the minimum requirements. However, in our view, it is not a good way to preculde the advanced model. Taking current situation into account, introduce UE capability is a possible way to move forward.</w:t>
      </w:r>
    </w:p>
    <w:p w14:paraId="5011DEE5">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the beam in set B, it is known. For the beam not in set B, it is prefered to assume </w:t>
      </w:r>
      <w:r>
        <w:rPr>
          <w:rFonts w:hint="default" w:ascii="Times New Roman" w:hAnsi="Times New Roman" w:eastAsia="Yu Mincho" w:cs="Times New Roman"/>
          <w:b/>
          <w:bCs w:val="0"/>
          <w:i/>
          <w:iCs w:val="0"/>
          <w:color w:val="auto"/>
          <w:sz w:val="20"/>
          <w:szCs w:val="20"/>
          <w:lang w:eastAsia="ja-JP"/>
        </w:rPr>
        <w:t>UE Rx beam is known</w:t>
      </w:r>
      <w:r>
        <w:rPr>
          <w:rFonts w:hint="eastAsia" w:ascii="Times New Roman" w:hAnsi="Times New Roman" w:cs="Times New Roman"/>
          <w:b/>
          <w:bCs w:val="0"/>
          <w:i/>
          <w:iCs w:val="0"/>
          <w:color w:val="auto"/>
          <w:sz w:val="20"/>
          <w:szCs w:val="20"/>
          <w:lang w:val="en-US" w:eastAsia="zh-CN"/>
        </w:rPr>
        <w:t>, but we are also OK to have UE capability to move forward.</w:t>
      </w:r>
    </w:p>
    <w:p w14:paraId="3FD0EB7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UE Rx beam knowledge has impact on TCI state activation requirements, since the requirements are related to whether the TCI state is known or unknown. If the predicted beam is reported within a certain time period before the TCI state switch command, with the assumption that UE Rx beam knowledge is known for the predicted TX beams, the TCI state can be considered as known, and the related TCI state activation delay can be reduced a lot compared with that of the unknown TCI state.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813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8B8DD99">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w:t>
            </w:r>
            <w:r>
              <w:rPr>
                <w:rFonts w:hint="default" w:ascii="Times New Roman" w:hAnsi="Times New Roman" w:eastAsia="Yu Mincho" w:cs="Times New Roman"/>
                <w:b/>
                <w:color w:val="auto"/>
                <w:sz w:val="20"/>
                <w:szCs w:val="20"/>
                <w:u w:val="single"/>
                <w:lang w:eastAsia="ja-JP"/>
              </w:rPr>
              <w:t>4</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Metrics/KPIs for beam prediction</w:t>
            </w:r>
          </w:p>
          <w:p w14:paraId="21B0C036">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For metrics for beam management requirements/tests, the following test metrics are identified and could be considered</w:t>
            </w:r>
          </w:p>
          <w:p w14:paraId="14CAA8D8">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1: RSRP accuracy</w:t>
            </w:r>
          </w:p>
          <w:p w14:paraId="3DBC160C">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2: Beam prediction accuracy</w:t>
            </w:r>
          </w:p>
          <w:p w14:paraId="73A6B14F">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-Top-1 (%) : the percentage of "the Top-1 strongest beam is Top-1 predicted beam"</w:t>
            </w:r>
          </w:p>
          <w:p w14:paraId="5CED1391">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-Top-K/1 (%) : the percentage of "the Top-1 strongest beam is one of the Top-K predicted beams"</w:t>
            </w:r>
          </w:p>
          <w:p w14:paraId="0E1482DC">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-Top-1/K (%) : the percentage of "the Top-1 predicted beam is one of the Top-K strongest beams"</w:t>
            </w:r>
          </w:p>
          <w:p w14:paraId="43ECFBF3">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 xml:space="preserve">Option 3: The successful rate for the correct prediction which is considered as maximum RSRP among top-K predicted beams is larger than the RSRP of the strongest beam – x dB, </w:t>
            </w:r>
          </w:p>
          <w:p w14:paraId="758A84CC">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-Related measurement accuracy can be considered to determine x</w:t>
            </w:r>
          </w:p>
          <w:p w14:paraId="5E15790C">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4: combinations of above options</w:t>
            </w:r>
          </w:p>
          <w:p w14:paraId="03B158DE">
            <w:pPr>
              <w:rPr>
                <w:rFonts w:hint="default" w:ascii="Times New Roman" w:hAnsi="Times New Roman" w:eastAsia="Yu Mincho" w:cs="Times New Roman"/>
                <w:iCs/>
                <w:color w:val="auto"/>
                <w:sz w:val="20"/>
                <w:szCs w:val="20"/>
                <w:lang w:eastAsia="ja-JP"/>
              </w:rPr>
            </w:pPr>
          </w:p>
          <w:p w14:paraId="771A1BBB">
            <w:pPr>
              <w:rPr>
                <w:rFonts w:hint="default" w:ascii="Times New Roman" w:hAnsi="Times New Roman" w:eastAsia="Yu Mincho" w:cs="Times New Roman"/>
                <w:b/>
                <w:bCs/>
                <w:iCs/>
                <w:color w:val="auto"/>
                <w:sz w:val="20"/>
                <w:szCs w:val="20"/>
                <w:lang w:eastAsia="ja-JP"/>
              </w:rPr>
            </w:pPr>
            <w:r>
              <w:rPr>
                <w:rFonts w:hint="default" w:ascii="Times New Roman" w:hAnsi="Times New Roman" w:eastAsia="Yu Mincho" w:cs="Times New Roman"/>
                <w:b/>
                <w:bCs/>
                <w:iCs/>
                <w:color w:val="auto"/>
                <w:sz w:val="20"/>
                <w:szCs w:val="20"/>
                <w:lang w:eastAsia="ja-JP"/>
              </w:rPr>
              <w:t>Proposals</w:t>
            </w:r>
          </w:p>
          <w:p w14:paraId="3FA6DD61">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1: Use Option 1</w:t>
            </w:r>
          </w:p>
          <w:p w14:paraId="7F87A33B">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2: Use Option 2</w:t>
            </w:r>
          </w:p>
          <w:p w14:paraId="118E1C33">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3: Use combined Option 2 and 3:</w:t>
            </w:r>
          </w:p>
          <w:p w14:paraId="13DC9D7B">
            <w:pPr>
              <w:numPr>
                <w:ilvl w:val="2"/>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11924011">
            <w:pPr>
              <w:numPr>
                <w:ilvl w:val="4"/>
                <w:numId w:val="6"/>
              </w:numPr>
              <w:ind w:left="1385" w:leftChars="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FFS: K = 2 and x = 3 as baseline</w:t>
            </w:r>
          </w:p>
          <w:p w14:paraId="32B0917C">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4: Add new metric:</w:t>
            </w:r>
          </w:p>
          <w:p w14:paraId="3D875264">
            <w:pPr>
              <w:numPr>
                <w:ilvl w:val="4"/>
                <w:numId w:val="6"/>
              </w:numPr>
              <w:spacing w:after="0"/>
              <w:ind w:left="1385" w:leftChars="0" w:hanging="485" w:firstLineChars="0"/>
              <w:rPr>
                <w:rFonts w:hint="default" w:ascii="Times New Roman" w:hAnsi="Times New Roman" w:eastAsia="MS Mincho" w:cs="Times New Roman"/>
                <w:b w:val="0"/>
                <w:bCs w:val="0"/>
                <w:color w:val="auto"/>
                <w:sz w:val="20"/>
                <w:szCs w:val="20"/>
              </w:rPr>
            </w:pPr>
            <w:r>
              <w:rPr>
                <w:rFonts w:hint="default" w:ascii="Times New Roman" w:hAnsi="Times New Roman" w:eastAsia="MS Mincho" w:cs="Times New Roman"/>
                <w:b w:val="0"/>
                <w:bCs w:val="0"/>
                <w:color w:val="auto"/>
                <w:sz w:val="20"/>
                <w:szCs w:val="20"/>
              </w:rPr>
              <w:t>Top-K/N (%): the percentage of "the Top-N genie-aided beam is one of the Top-K predicted beams". FFS how N is derived.</w:t>
            </w:r>
          </w:p>
          <w:p w14:paraId="3ACA1C90">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5: Add a requirement based on relative difference between predictions under different conditions/inputs (for example varying signal levels by N dBs but maintain same relative difference).</w:t>
            </w:r>
          </w:p>
          <w:p w14:paraId="76B683F8">
            <w:pPr>
              <w:numPr>
                <w:ilvl w:val="4"/>
                <w:numId w:val="6"/>
              </w:numPr>
              <w:ind w:left="1385" w:leftChars="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consider defining multiple tests under different conditions but with the same outcome(same predicted beam)</w:t>
            </w:r>
          </w:p>
          <w:p w14:paraId="52F1C21F">
            <w:pPr>
              <w:numPr>
                <w:ilvl w:val="1"/>
                <w:numId w:val="6"/>
              </w:numPr>
              <w:ind w:left="965" w:leftChars="20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6: both RSRP accuracy and beam prediction accuracy are used as KPIs for beam prediction</w:t>
            </w:r>
          </w:p>
          <w:p w14:paraId="559AC513">
            <w:pPr>
              <w:numPr>
                <w:ilvl w:val="4"/>
                <w:numId w:val="6"/>
              </w:numPr>
              <w:ind w:left="1385" w:leftChars="0" w:hanging="485" w:firstLineChars="0"/>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RSRP absolute accuracy applies to all predicted beams</w:t>
            </w:r>
          </w:p>
          <w:p w14:paraId="1D34023D">
            <w:pPr>
              <w:spacing w:after="180" w:line="240" w:lineRule="exact"/>
              <w:rPr>
                <w:rFonts w:hint="default" w:ascii="Times New Roman" w:hAnsi="Times New Roman" w:eastAsia="等线" w:cs="Times New Roman"/>
                <w:bCs/>
                <w:iCs/>
                <w:color w:val="auto"/>
                <w:sz w:val="20"/>
                <w:szCs w:val="20"/>
                <w:vertAlign w:val="baseline"/>
                <w:lang w:val="en-US" w:eastAsia="zh-CN"/>
              </w:rPr>
            </w:pPr>
          </w:p>
        </w:tc>
      </w:tr>
    </w:tbl>
    <w:p w14:paraId="7BF48802">
      <w:pPr>
        <w:spacing w:after="180" w:line="240" w:lineRule="exact"/>
        <w:rPr>
          <w:rFonts w:hint="default" w:ascii="Times New Roman" w:hAnsi="Times New Roman" w:eastAsia="等线"/>
          <w:bCs/>
          <w:iCs/>
          <w:sz w:val="20"/>
          <w:szCs w:val="20"/>
          <w:lang w:val="en-US" w:eastAsia="zh-CN"/>
        </w:rPr>
      </w:pPr>
    </w:p>
    <w:p w14:paraId="674F309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agreements, as diplicated as following, Top 1 or Top K beam prediction accuracy is supported. From our point of view, except beam prediction accuracy, RSRP accuracy can also be considered as metrics for requirements/tests, since the two metrics verify the inference performance from different perspective. Beam prediction accuracy (absolute or relative) is similar like existing L1-RSRP measurement accuracy. For example, the absolute prediction accuracy is the difference between predict L1-RSRP and ideal L1-RSRP.  Beam prediction accuracy is used to reflect the percentage that the predict beam is the “genie-aided” beam. Having good RSRP accuracy does not mean that the beam prediction accuracy is good, vice versa.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B2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5661B3">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Agreement@ RAN1 #118b meeting</w:t>
            </w:r>
          </w:p>
          <w:p w14:paraId="4ED9482C">
            <w:pPr>
              <w:rPr>
                <w:rFonts w:hint="default" w:ascii="Times New Roman" w:hAnsi="Times New Roman" w:cs="Times New Roman"/>
                <w:sz w:val="20"/>
                <w:szCs w:val="20"/>
                <w:lang w:eastAsia="de-DE"/>
              </w:rPr>
            </w:pPr>
            <w:r>
              <w:rPr>
                <w:rFonts w:hint="default" w:ascii="Times New Roman" w:hAnsi="Times New Roman" w:cs="Times New Roman"/>
                <w:bCs/>
                <w:sz w:val="20"/>
                <w:szCs w:val="20"/>
                <w:lang w:eastAsia="zh-CN"/>
              </w:rPr>
              <w:t xml:space="preserve">For BM-Case1 and BM-Case2 with a UE-sided AI/ML model, for Option 2 </w:t>
            </w:r>
            <w:r>
              <w:rPr>
                <w:rFonts w:hint="default" w:ascii="Times New Roman" w:hAnsi="Times New Roman" w:cs="Times New Roman"/>
                <w:sz w:val="20"/>
                <w:szCs w:val="20"/>
                <w:lang w:eastAsia="de-DE"/>
              </w:rPr>
              <w:t xml:space="preserve">(UE-assisted performance monitoring), </w:t>
            </w:r>
          </w:p>
          <w:p w14:paraId="13B25227">
            <w:pPr>
              <w:pStyle w:val="10"/>
              <w:numPr>
                <w:ilvl w:val="0"/>
                <w:numId w:val="10"/>
              </w:numPr>
              <w:spacing w:after="180"/>
              <w:ind w:leftChars="0"/>
              <w:rPr>
                <w:rFonts w:hint="default" w:ascii="Times New Roman" w:hAnsi="Times New Roman" w:cs="Times New Roman"/>
                <w:sz w:val="20"/>
                <w:szCs w:val="20"/>
                <w:lang w:eastAsia="de-DE"/>
              </w:rPr>
            </w:pPr>
            <w:r>
              <w:rPr>
                <w:rFonts w:hint="default" w:ascii="Times New Roman" w:hAnsi="Times New Roman" w:eastAsia="等线" w:cs="Times New Roman"/>
                <w:sz w:val="20"/>
                <w:szCs w:val="20"/>
                <w:lang w:eastAsia="zh-CN"/>
              </w:rPr>
              <w:t>At least support Alt</w:t>
            </w:r>
            <w:r>
              <w:rPr>
                <w:rFonts w:hint="default" w:ascii="Times New Roman" w:hAnsi="Times New Roman" w:cs="Times New Roman"/>
                <w:sz w:val="20"/>
                <w:szCs w:val="20"/>
                <w:lang w:eastAsia="de-DE"/>
              </w:rPr>
              <w:t xml:space="preserve"> 1: Top 1 or Top K beam prediction accuracy (with or without margin) by comparing the prediction results and the Top 1 or Top K beam based on the measurements from a resource set/ resources for monitoring</w:t>
            </w:r>
          </w:p>
          <w:p w14:paraId="51FC4668">
            <w:pPr>
              <w:pStyle w:val="10"/>
              <w:numPr>
                <w:ilvl w:val="1"/>
                <w:numId w:val="10"/>
              </w:numPr>
              <w:spacing w:after="180"/>
              <w:ind w:leftChars="0"/>
              <w:rPr>
                <w:rFonts w:hint="default" w:ascii="Times New Roman" w:hAnsi="Times New Roman" w:cs="Times New Roman"/>
                <w:sz w:val="20"/>
                <w:szCs w:val="20"/>
                <w:lang w:eastAsia="de-DE"/>
              </w:rPr>
            </w:pPr>
            <w:r>
              <w:rPr>
                <w:rFonts w:hint="default" w:ascii="Times New Roman" w:hAnsi="Times New Roman" w:cs="Times New Roman"/>
                <w:sz w:val="20"/>
                <w:szCs w:val="20"/>
                <w:lang w:eastAsia="de-DE"/>
              </w:rPr>
              <w:t xml:space="preserve">FFS on detail definition of the metric, including whether/how to configure or define a window for calculation </w:t>
            </w:r>
            <w:r>
              <w:rPr>
                <w:rFonts w:hint="default" w:ascii="Times New Roman" w:hAnsi="Times New Roman" w:eastAsia="宋体" w:cs="Times New Roman"/>
                <w:sz w:val="20"/>
                <w:szCs w:val="20"/>
                <w:lang w:val="en-US" w:eastAsia="zh-CN"/>
              </w:rPr>
              <w:t xml:space="preserve"> </w:t>
            </w:r>
          </w:p>
          <w:p w14:paraId="38C0E889">
            <w:pPr>
              <w:pStyle w:val="10"/>
              <w:numPr>
                <w:ilvl w:val="1"/>
                <w:numId w:val="10"/>
              </w:numPr>
              <w:spacing w:after="180"/>
              <w:ind w:leftChars="0"/>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 xml:space="preserve">FFS: </w:t>
            </w:r>
            <w:r>
              <w:rPr>
                <w:rFonts w:hint="default" w:ascii="Times New Roman" w:hAnsi="Times New Roman" w:cs="Times New Roman"/>
                <w:sz w:val="20"/>
                <w:szCs w:val="20"/>
              </w:rPr>
              <w:t>on other details including how to configure the resource set/resources for monitoring, including</w:t>
            </w:r>
          </w:p>
          <w:p w14:paraId="4E6F05B1">
            <w:pPr>
              <w:pStyle w:val="10"/>
              <w:numPr>
                <w:ilvl w:val="2"/>
                <w:numId w:val="10"/>
              </w:numPr>
              <w:tabs>
                <w:tab w:val="left" w:pos="1440"/>
              </w:tabs>
              <w:spacing w:after="180"/>
              <w:ind w:leftChars="0"/>
              <w:rPr>
                <w:rFonts w:hint="default" w:ascii="Times New Roman" w:hAnsi="Times New Roman" w:cs="Times New Roman"/>
                <w:sz w:val="20"/>
                <w:szCs w:val="20"/>
                <w:lang w:eastAsia="de-DE"/>
              </w:rPr>
            </w:pPr>
            <w:r>
              <w:rPr>
                <w:rFonts w:hint="default" w:ascii="Times New Roman" w:hAnsi="Times New Roman" w:cs="Times New Roman"/>
                <w:sz w:val="20"/>
                <w:szCs w:val="20"/>
              </w:rPr>
              <w:t xml:space="preserve">E.g. whether/how to use full set of Set A for measurement. </w:t>
            </w:r>
            <w:r>
              <w:rPr>
                <w:rFonts w:hint="default" w:ascii="Times New Roman" w:hAnsi="Times New Roman" w:eastAsia="等线" w:cs="Times New Roman"/>
                <w:sz w:val="20"/>
                <w:szCs w:val="20"/>
                <w:lang w:eastAsia="zh-CN"/>
              </w:rPr>
              <w:t>I</w:t>
            </w:r>
            <w:r>
              <w:rPr>
                <w:rFonts w:hint="default" w:ascii="Times New Roman" w:hAnsi="Times New Roman" w:cs="Times New Roman"/>
                <w:sz w:val="20"/>
                <w:szCs w:val="20"/>
              </w:rPr>
              <w:t xml:space="preserve">f the full set A is not configured, whether/how to define the metric </w:t>
            </w:r>
          </w:p>
          <w:p w14:paraId="7BCD9D5F">
            <w:pPr>
              <w:pStyle w:val="10"/>
              <w:numPr>
                <w:ilvl w:val="0"/>
                <w:numId w:val="10"/>
              </w:numPr>
              <w:spacing w:after="180"/>
              <w:ind w:left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de-DE"/>
              </w:rPr>
              <w:t>FFS other alternatives</w:t>
            </w:r>
            <w:r>
              <w:rPr>
                <w:rFonts w:hint="default" w:ascii="Times New Roman" w:hAnsi="Times New Roman" w:eastAsia="宋体" w:cs="Times New Roman"/>
                <w:sz w:val="20"/>
                <w:szCs w:val="20"/>
                <w:lang w:val="en-US" w:eastAsia="zh-CN"/>
              </w:rPr>
              <w:t xml:space="preserve"> </w:t>
            </w:r>
          </w:p>
        </w:tc>
      </w:tr>
    </w:tbl>
    <w:p w14:paraId="2E8E5A27">
      <w:pPr>
        <w:spacing w:after="180" w:line="240" w:lineRule="exact"/>
        <w:rPr>
          <w:rFonts w:hint="default" w:ascii="Times New Roman" w:hAnsi="Times New Roman" w:eastAsia="等线"/>
          <w:bCs/>
          <w:iCs/>
          <w:sz w:val="20"/>
          <w:szCs w:val="20"/>
          <w:lang w:val="en-US" w:eastAsia="zh-CN"/>
        </w:rPr>
      </w:pPr>
    </w:p>
    <w:p w14:paraId="1DE2F7D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4: it is proposed that both the RSRP accuracy and beam prediction accuracy are the metrics/KPIs for beam prediction.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CE4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086177">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rPr>
              <w:t xml:space="preserve">Issue </w:t>
            </w:r>
            <w:r>
              <w:rPr>
                <w:rFonts w:hint="default" w:ascii="Times New Roman" w:hAnsi="Times New Roman" w:cs="Times New Roman" w:eastAsiaTheme="minorEastAsia"/>
                <w:b/>
                <w:sz w:val="20"/>
                <w:szCs w:val="20"/>
                <w:u w:val="single"/>
                <w:lang w:eastAsia="ja-JP"/>
              </w:rPr>
              <w:t>3</w:t>
            </w:r>
            <w:r>
              <w:rPr>
                <w:rFonts w:hint="default" w:ascii="Times New Roman" w:hAnsi="Times New Roman" w:cs="Times New Roman"/>
                <w:b/>
                <w:sz w:val="20"/>
                <w:szCs w:val="20"/>
                <w:u w:val="single"/>
              </w:rPr>
              <w:t xml:space="preserve">-5: </w:t>
            </w:r>
            <w:r>
              <w:rPr>
                <w:rFonts w:hint="default" w:ascii="Times New Roman" w:hAnsi="Times New Roman" w:eastAsia="Yu Mincho" w:cs="Times New Roman"/>
                <w:b/>
                <w:sz w:val="20"/>
                <w:szCs w:val="20"/>
                <w:u w:val="single"/>
                <w:lang w:eastAsia="ja-JP"/>
              </w:rPr>
              <w:t>Prediction delay requirements</w:t>
            </w:r>
          </w:p>
          <w:p w14:paraId="0F8FE1A8">
            <w:pPr>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Agreement:</w:t>
            </w:r>
          </w:p>
          <w:p w14:paraId="1DD0B231">
            <w:pPr>
              <w:pStyle w:val="10"/>
              <w:numPr>
                <w:ilvl w:val="0"/>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Prediction delay includes:</w:t>
            </w:r>
          </w:p>
          <w:p w14:paraId="6A50B234">
            <w:pPr>
              <w:pStyle w:val="10"/>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Measurement for prediction</w:t>
            </w:r>
          </w:p>
          <w:p w14:paraId="34D15BC5">
            <w:pPr>
              <w:pStyle w:val="10"/>
              <w:numPr>
                <w:ilvl w:val="2"/>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FFS on whether the legacy measurement delay can be reused</w:t>
            </w:r>
          </w:p>
          <w:p w14:paraId="5EBA571A">
            <w:pPr>
              <w:pStyle w:val="10"/>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Inference delay</w:t>
            </w:r>
          </w:p>
          <w:p w14:paraId="2DAC65AD">
            <w:pPr>
              <w:pStyle w:val="10"/>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components are FFS</w:t>
            </w:r>
          </w:p>
          <w:p w14:paraId="455E2D0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11A225F4">
      <w:pPr>
        <w:spacing w:after="180" w:line="240" w:lineRule="exact"/>
        <w:rPr>
          <w:rFonts w:hint="eastAsia" w:ascii="Times New Roman" w:hAnsi="Times New Roman" w:eastAsia="等线"/>
          <w:bCs/>
          <w:iCs/>
          <w:sz w:val="20"/>
          <w:szCs w:val="20"/>
          <w:lang w:val="en-US" w:eastAsia="zh-CN"/>
        </w:rPr>
      </w:pPr>
    </w:p>
    <w:p w14:paraId="71389777">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In last meeting, it was agreed that the prediction delay includes measurement for prediction, inference delay, and FFS other components. Initially, we do not think measurement need to be considered since it is the legacy measurement. Howver, companies argue that inference caanot be performed without measurement, and from requirements point of view, the start of prediction delay is the time when UE is aked to do prediction. With this explanation, we are fine to include measurement in the prediction delay. But we still think for the component of measurement, </w:t>
      </w:r>
      <w:r>
        <w:rPr>
          <w:rFonts w:hint="default" w:ascii="Times New Roman" w:hAnsi="Times New Roman" w:eastAsia="Yu Mincho" w:cs="Times New Roman"/>
          <w:sz w:val="20"/>
          <w:szCs w:val="20"/>
          <w:lang w:eastAsia="ja-JP"/>
        </w:rPr>
        <w:t>legacy measurement delay can be reused</w:t>
      </w:r>
      <w:r>
        <w:rPr>
          <w:rFonts w:hint="eastAsia" w:ascii="Times New Roman" w:hAnsi="Times New Roman" w:cs="Times New Roman"/>
          <w:sz w:val="20"/>
          <w:szCs w:val="20"/>
          <w:lang w:val="en-US" w:eastAsia="zh-CN"/>
        </w:rPr>
        <w:t>, or at least no longer delay is expected.</w:t>
      </w:r>
    </w:p>
    <w:p w14:paraId="35A4BE96">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measurement for prediction, </w:t>
      </w:r>
      <w:r>
        <w:rPr>
          <w:rFonts w:hint="default" w:ascii="Times New Roman" w:hAnsi="Times New Roman" w:eastAsia="Yu Mincho" w:cs="Times New Roman"/>
          <w:b/>
          <w:bCs/>
          <w:i/>
          <w:iCs/>
          <w:sz w:val="20"/>
          <w:szCs w:val="20"/>
          <w:lang w:eastAsia="ja-JP"/>
        </w:rPr>
        <w:t>legacy measurement delay</w:t>
      </w:r>
      <w:r>
        <w:rPr>
          <w:rFonts w:hint="eastAsia" w:ascii="Times New Roman" w:hAnsi="Times New Roman" w:cs="Times New Roman"/>
          <w:b/>
          <w:bCs/>
          <w:i/>
          <w:iCs/>
          <w:sz w:val="20"/>
          <w:szCs w:val="20"/>
          <w:lang w:val="en-US" w:eastAsia="zh-CN"/>
        </w:rPr>
        <w:t xml:space="preserve"> can be reused, or at least no longer delay is expected.  </w:t>
      </w:r>
      <w:r>
        <w:rPr>
          <w:rFonts w:hint="eastAsia" w:ascii="Times New Roman" w:hAnsi="Times New Roman" w:eastAsia="等线"/>
          <w:b/>
          <w:bCs/>
          <w:i/>
          <w:iCs/>
          <w:sz w:val="20"/>
          <w:szCs w:val="20"/>
          <w:lang w:val="en-US" w:eastAsia="zh-CN"/>
        </w:rPr>
        <w:t xml:space="preserve">  </w:t>
      </w:r>
    </w:p>
    <w:p w14:paraId="45CA45B9">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26D2ACB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the relative RSRP accuracy is proposed as:</w:t>
      </w:r>
    </w:p>
    <w:p w14:paraId="0246B634">
      <w:pPr>
        <w:numPr>
          <w:ilvl w:val="0"/>
          <w:numId w:val="7"/>
        </w:numPr>
        <w:spacing w:after="180" w:line="240" w:lineRule="exact"/>
        <w:ind w:left="840" w:leftChars="0" w:hanging="420" w:firstLineChars="0"/>
        <w:rPr>
          <w:rFonts w:hint="default" w:ascii="Times New Roman" w:hAnsi="Times New Roman" w:eastAsia="Yu Mincho" w:cs="Times New Roman"/>
          <w:b/>
          <w:bCs w:val="0"/>
          <w:i/>
          <w:iCs w:val="0"/>
          <w:color w:val="auto"/>
          <w:sz w:val="20"/>
          <w:szCs w:val="20"/>
          <w:lang w:eastAsia="zh-CN"/>
        </w:rPr>
      </w:pPr>
      <w:r>
        <w:rPr>
          <w:rFonts w:hint="default" w:ascii="Times New Roman" w:hAnsi="Times New Roman" w:eastAsia="Yu Mincho" w:cs="Times New Roman"/>
          <w:b/>
          <w:bCs w:val="0"/>
          <w:i/>
          <w:iCs w:val="0"/>
          <w:color w:val="auto"/>
          <w:sz w:val="20"/>
          <w:szCs w:val="20"/>
          <w:lang w:eastAsia="ja-JP"/>
        </w:rPr>
        <w:t>Relative RSRP accuracy</w:t>
      </w:r>
      <w:r>
        <w:rPr>
          <w:rFonts w:hint="eastAsia" w:ascii="Times New Roman" w:hAnsi="Times New Roman"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predicted L1-RSRP of beam index i – predicted L1-RSRP of beam index n, where the beam index n owns the largest predicted value.</w:t>
      </w:r>
    </w:p>
    <w:p w14:paraId="6B4D1C6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that the RSRP absolute accuracy requirements apply to all predicted beams, not limit to the beam index in top-K beams.</w:t>
      </w:r>
    </w:p>
    <w:p w14:paraId="3B394869">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the beam in set B, it is known. For the beam not in set B, it is prefered to assume </w:t>
      </w:r>
      <w:r>
        <w:rPr>
          <w:rFonts w:hint="default" w:ascii="Times New Roman" w:hAnsi="Times New Roman" w:eastAsia="Yu Mincho" w:cs="Times New Roman"/>
          <w:b/>
          <w:bCs w:val="0"/>
          <w:i/>
          <w:iCs w:val="0"/>
          <w:color w:val="auto"/>
          <w:sz w:val="20"/>
          <w:szCs w:val="20"/>
          <w:lang w:eastAsia="ja-JP"/>
        </w:rPr>
        <w:t>UE Rx beam is known</w:t>
      </w:r>
      <w:r>
        <w:rPr>
          <w:rFonts w:hint="eastAsia" w:ascii="Times New Roman" w:hAnsi="Times New Roman" w:cs="Times New Roman"/>
          <w:b/>
          <w:bCs w:val="0"/>
          <w:i/>
          <w:iCs w:val="0"/>
          <w:color w:val="auto"/>
          <w:sz w:val="20"/>
          <w:szCs w:val="20"/>
          <w:lang w:val="en-US" w:eastAsia="zh-CN"/>
        </w:rPr>
        <w:t>, but we are also OK to have UE capability to move forward.</w:t>
      </w:r>
    </w:p>
    <w:p w14:paraId="356D5D2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4: it is proposed that both the RSRP accuracy and beam prediction accuracy are the metrics/KPIs for beam prediction.</w:t>
      </w:r>
    </w:p>
    <w:p w14:paraId="514B2A9A">
      <w:pPr>
        <w:spacing w:after="180" w:line="240" w:lineRule="exact"/>
        <w:rPr>
          <w:rFonts w:hint="eastAsia" w:ascii="Times New Roman" w:hAnsi="Times New Roman"/>
          <w:sz w:val="20"/>
          <w:szCs w:val="20"/>
        </w:rPr>
      </w:pPr>
      <w:r>
        <w:rPr>
          <w:rFonts w:hint="eastAsia" w:ascii="Times New Roman" w:hAnsi="Times New Roman" w:cs="Times New Roman"/>
          <w:b/>
          <w:bCs/>
          <w:i/>
          <w:iCs/>
          <w:sz w:val="20"/>
          <w:szCs w:val="20"/>
          <w:lang w:val="en-US" w:eastAsia="zh-CN"/>
        </w:rPr>
        <w:t xml:space="preserve">Proposal 5: for measurement for prediction, </w:t>
      </w:r>
      <w:r>
        <w:rPr>
          <w:rFonts w:hint="default" w:ascii="Times New Roman" w:hAnsi="Times New Roman" w:eastAsia="Yu Mincho" w:cs="Times New Roman"/>
          <w:b/>
          <w:bCs/>
          <w:i/>
          <w:iCs/>
          <w:sz w:val="20"/>
          <w:szCs w:val="20"/>
          <w:lang w:eastAsia="ja-JP"/>
        </w:rPr>
        <w:t>legacy measurement delay</w:t>
      </w:r>
      <w:r>
        <w:rPr>
          <w:rFonts w:hint="eastAsia" w:ascii="Times New Roman" w:hAnsi="Times New Roman" w:cs="Times New Roman"/>
          <w:b/>
          <w:bCs/>
          <w:i/>
          <w:iCs/>
          <w:sz w:val="20"/>
          <w:szCs w:val="20"/>
          <w:lang w:val="en-US" w:eastAsia="zh-CN"/>
        </w:rPr>
        <w:t xml:space="preserve"> can be reused, or at least no longer delay is expected.  </w:t>
      </w:r>
      <w:r>
        <w:rPr>
          <w:rFonts w:hint="eastAsia" w:ascii="Times New Roman" w:hAnsi="Times New Roman" w:eastAsia="等线"/>
          <w:b/>
          <w:bCs/>
          <w:i/>
          <w:iCs/>
          <w:sz w:val="20"/>
          <w:szCs w:val="20"/>
          <w:lang w:val="en-US" w:eastAsia="zh-CN"/>
        </w:rPr>
        <w:t xml:space="preserve">  </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2"/>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2"/>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3BA597AB">
      <w:pPr>
        <w:pStyle w:val="12"/>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2"/>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2"/>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2"/>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2"/>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2"/>
        <w:framePr w:wrap="auto" w:vAnchor="margin" w:hAnchor="text" w:yAlign="inline"/>
        <w:ind w:right="400"/>
        <w:jc w:val="both"/>
        <w:rPr>
          <w:rFonts w:ascii="Times" w:hAnsi="Times" w:eastAsia="宋体"/>
          <w:b w:val="0"/>
          <w:sz w:val="20"/>
          <w:lang w:eastAsia="zh-CN"/>
        </w:rPr>
      </w:pPr>
    </w:p>
    <w:p w14:paraId="3E9138E2">
      <w:pPr>
        <w:pStyle w:val="12"/>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B116E6A"/>
    <w:multiLevelType w:val="multilevel"/>
    <w:tmpl w:val="2B116E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F0C1867"/>
    <w:multiLevelType w:val="singleLevel"/>
    <w:tmpl w:val="2F0C1867"/>
    <w:lvl w:ilvl="0" w:tentative="0">
      <w:start w:val="1"/>
      <w:numFmt w:val="bullet"/>
      <w:lvlText w:val=""/>
      <w:lvlJc w:val="left"/>
      <w:pPr>
        <w:ind w:left="420" w:hanging="420"/>
      </w:pPr>
      <w:rPr>
        <w:rFonts w:hint="default" w:ascii="Wingdings" w:hAnsi="Wingdings"/>
      </w:rPr>
    </w:lvl>
  </w:abstractNum>
  <w:abstractNum w:abstractNumId="6">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1"/>
  </w:num>
  <w:num w:numId="2">
    <w:abstractNumId w:val="7"/>
  </w:num>
  <w:num w:numId="3">
    <w:abstractNumId w:val="3"/>
  </w:num>
  <w:num w:numId="4">
    <w:abstractNumId w:val="10"/>
  </w:num>
  <w:num w:numId="5">
    <w:abstractNumId w:val="8"/>
  </w:num>
  <w:num w:numId="6">
    <w:abstractNumId w:val="9"/>
  </w:num>
  <w:num w:numId="7">
    <w:abstractNumId w:val="5"/>
  </w:num>
  <w:num w:numId="8">
    <w:abstractNumId w:val="6"/>
  </w:num>
  <w:num w:numId="9">
    <w:abstractNumId w:val="4"/>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66D2D"/>
    <w:rsid w:val="0A12645E"/>
    <w:rsid w:val="0FE50EF5"/>
    <w:rsid w:val="13156148"/>
    <w:rsid w:val="151A3F0B"/>
    <w:rsid w:val="15685863"/>
    <w:rsid w:val="15C5068C"/>
    <w:rsid w:val="18C26AAD"/>
    <w:rsid w:val="19D35C0A"/>
    <w:rsid w:val="1A4B52AF"/>
    <w:rsid w:val="1B8C2C7D"/>
    <w:rsid w:val="21CD1190"/>
    <w:rsid w:val="22C91E20"/>
    <w:rsid w:val="24BB4727"/>
    <w:rsid w:val="259C54CD"/>
    <w:rsid w:val="27BB3844"/>
    <w:rsid w:val="295E6B72"/>
    <w:rsid w:val="308E7578"/>
    <w:rsid w:val="3295408B"/>
    <w:rsid w:val="3ACA3C80"/>
    <w:rsid w:val="3ADD5C61"/>
    <w:rsid w:val="3DEF01B7"/>
    <w:rsid w:val="40905E46"/>
    <w:rsid w:val="4582291E"/>
    <w:rsid w:val="46A636F7"/>
    <w:rsid w:val="4B525B6F"/>
    <w:rsid w:val="4D3D03C8"/>
    <w:rsid w:val="4D85114F"/>
    <w:rsid w:val="5879537F"/>
    <w:rsid w:val="5CBC141D"/>
    <w:rsid w:val="5E2B562E"/>
    <w:rsid w:val="5ED80E84"/>
    <w:rsid w:val="644D521F"/>
    <w:rsid w:val="69567192"/>
    <w:rsid w:val="6A52659E"/>
    <w:rsid w:val="6D092287"/>
    <w:rsid w:val="6D205895"/>
    <w:rsid w:val="6D7E0FF0"/>
    <w:rsid w:val="75886832"/>
    <w:rsid w:val="773771F4"/>
    <w:rsid w:val="7C3F4164"/>
    <w:rsid w:val="7C6D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2025-02-07T08:41:21Z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